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FA6" w:rsidRDefault="00BD0FA6" w:rsidP="00D81762">
      <w:pPr>
        <w:pStyle w:val="a5"/>
        <w:shd w:val="clear" w:color="auto" w:fill="FFFFFF"/>
        <w:spacing w:before="0" w:beforeAutospacing="0" w:after="0"/>
        <w:jc w:val="center"/>
        <w:rPr>
          <w:b/>
          <w:color w:val="C00000"/>
          <w:sz w:val="40"/>
          <w:szCs w:val="40"/>
          <w:lang w:val="tt-RU"/>
        </w:rPr>
      </w:pPr>
      <w:r w:rsidRPr="00BD0FA6">
        <w:rPr>
          <w:b/>
          <w:color w:val="C00000"/>
          <w:sz w:val="40"/>
          <w:szCs w:val="40"/>
          <w:lang w:val="tt-RU"/>
        </w:rPr>
        <w:t>Герой Советского Союза</w:t>
      </w:r>
    </w:p>
    <w:p w:rsidR="00BD0FA6" w:rsidRPr="00D81762" w:rsidRDefault="00BD0FA6" w:rsidP="00D81762">
      <w:pPr>
        <w:pStyle w:val="a5"/>
        <w:shd w:val="clear" w:color="auto" w:fill="FFFFFF"/>
        <w:spacing w:before="0" w:beforeAutospacing="0" w:after="0"/>
        <w:jc w:val="center"/>
        <w:rPr>
          <w:b/>
          <w:sz w:val="44"/>
          <w:szCs w:val="44"/>
          <w:lang w:val="tt-RU"/>
        </w:rPr>
      </w:pPr>
      <w:r w:rsidRPr="00BD0FA6">
        <w:rPr>
          <w:b/>
          <w:sz w:val="44"/>
          <w:szCs w:val="44"/>
          <w:lang w:val="tt-RU"/>
        </w:rPr>
        <w:t>Сафронов Пётр Сергеевич</w:t>
      </w:r>
      <w:r>
        <w:rPr>
          <w:b/>
          <w:sz w:val="44"/>
          <w:szCs w:val="44"/>
          <w:lang w:val="tt-RU"/>
        </w:rPr>
        <w:t xml:space="preserve"> (1925</w:t>
      </w:r>
      <w:r>
        <w:rPr>
          <w:b/>
          <w:sz w:val="44"/>
          <w:szCs w:val="44"/>
          <w:lang w:val="tt-RU"/>
        </w:rPr>
        <w:sym w:font="Symbol" w:char="F02D"/>
      </w:r>
      <w:r w:rsidR="00D81762">
        <w:rPr>
          <w:b/>
          <w:sz w:val="44"/>
          <w:szCs w:val="44"/>
          <w:lang w:val="tt-RU"/>
        </w:rPr>
        <w:t>1995)</w:t>
      </w:r>
    </w:p>
    <w:p w:rsidR="00BD0FA6" w:rsidRDefault="00BD0FA6" w:rsidP="00D81762">
      <w:pPr>
        <w:pStyle w:val="a5"/>
        <w:shd w:val="clear" w:color="auto" w:fill="FFFFFF"/>
      </w:pPr>
      <w:r w:rsidRPr="00BD0FA6">
        <w:rPr>
          <w:rFonts w:ascii="Calibri" w:hAnsi="Calibri"/>
          <w:noProof/>
          <w:sz w:val="22"/>
          <w:szCs w:val="22"/>
        </w:rPr>
        <w:drawing>
          <wp:inline distT="0" distB="0" distL="0" distR="0" wp14:anchorId="79703420" wp14:editId="608C9D65">
            <wp:extent cx="3133725" cy="4181475"/>
            <wp:effectExtent l="38100" t="38100" r="47625" b="47625"/>
            <wp:docPr id="2" name="Рисунок 2" descr="C:\Users\Библиотека №6\Desktop\76092582_Safronov_P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иблиотека №6\Desktop\76092582_Safronov_P_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1814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D81762">
        <w:t xml:space="preserve">  </w:t>
      </w:r>
      <w:r>
        <w:t xml:space="preserve"> </w:t>
      </w:r>
      <w:r>
        <w:rPr>
          <w:noProof/>
        </w:rPr>
        <w:drawing>
          <wp:inline distT="0" distB="0" distL="0" distR="0" wp14:anchorId="0D7F0994" wp14:editId="5D9F3D18">
            <wp:extent cx="3057525" cy="4191000"/>
            <wp:effectExtent l="38100" t="38100" r="47625" b="38100"/>
            <wp:docPr id="3" name="Рисунок 3" descr="C:\Users\Библиотека №6\Desktop\Сафронов_Петр_Серге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Библиотека №6\Desktop\Сафронов_Петр_Сергееви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4191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81762" w:rsidRDefault="00BD0FA6" w:rsidP="00D81762">
      <w:pPr>
        <w:pStyle w:val="a5"/>
        <w:shd w:val="clear" w:color="auto" w:fill="FFFFFF"/>
        <w:spacing w:before="0" w:beforeAutospacing="0" w:after="0"/>
        <w:ind w:firstLine="709"/>
        <w:jc w:val="both"/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D81762">
        <w:rPr>
          <w:sz w:val="28"/>
          <w:szCs w:val="28"/>
        </w:rPr>
        <w:t xml:space="preserve">Петр Сергеевич Сафронов, родился в 1925 году в д. </w:t>
      </w:r>
      <w:proofErr w:type="spellStart"/>
      <w:r w:rsidRPr="00D81762">
        <w:rPr>
          <w:sz w:val="28"/>
          <w:szCs w:val="28"/>
        </w:rPr>
        <w:t>Моркваши</w:t>
      </w:r>
      <w:proofErr w:type="spellEnd"/>
      <w:r w:rsidRPr="00D81762">
        <w:rPr>
          <w:sz w:val="28"/>
          <w:szCs w:val="28"/>
        </w:rPr>
        <w:t xml:space="preserve"> </w:t>
      </w:r>
      <w:proofErr w:type="spellStart"/>
      <w:r w:rsidRPr="00D81762">
        <w:rPr>
          <w:sz w:val="28"/>
          <w:szCs w:val="28"/>
        </w:rPr>
        <w:t>Бондюжского</w:t>
      </w:r>
      <w:proofErr w:type="spellEnd"/>
      <w:r w:rsidRPr="00D81762">
        <w:rPr>
          <w:sz w:val="28"/>
          <w:szCs w:val="28"/>
        </w:rPr>
        <w:t xml:space="preserve"> района. С шести лет пошел учиться в </w:t>
      </w:r>
      <w:proofErr w:type="spellStart"/>
      <w:r w:rsidRPr="00D81762">
        <w:rPr>
          <w:sz w:val="28"/>
          <w:szCs w:val="28"/>
        </w:rPr>
        <w:t>Бондюжскую</w:t>
      </w:r>
      <w:proofErr w:type="spellEnd"/>
      <w:r w:rsidRPr="00D81762">
        <w:rPr>
          <w:sz w:val="28"/>
          <w:szCs w:val="28"/>
        </w:rPr>
        <w:t xml:space="preserve"> школу №1 (сегодня школа №4). После окончания школы пошел работать на химзавод слесарем. 31 декабря 1942 года в </w:t>
      </w:r>
      <w:proofErr w:type="spellStart"/>
      <w:r w:rsidRPr="00D81762">
        <w:rPr>
          <w:sz w:val="28"/>
          <w:szCs w:val="28"/>
        </w:rPr>
        <w:t>райкомате</w:t>
      </w:r>
      <w:proofErr w:type="spellEnd"/>
      <w:r w:rsidRPr="00D81762">
        <w:rPr>
          <w:sz w:val="28"/>
          <w:szCs w:val="28"/>
        </w:rPr>
        <w:t xml:space="preserve"> Петру вручили повестку на фронт.</w:t>
      </w:r>
    </w:p>
    <w:p w:rsidR="00D81762" w:rsidRDefault="00BD0FA6" w:rsidP="00D81762">
      <w:pPr>
        <w:pStyle w:val="a5"/>
        <w:shd w:val="clear" w:color="auto" w:fill="FFFFFF"/>
        <w:spacing w:before="0" w:beforeAutospacing="0" w:after="0"/>
        <w:ind w:firstLine="709"/>
        <w:jc w:val="both"/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D81762">
        <w:rPr>
          <w:sz w:val="28"/>
          <w:szCs w:val="28"/>
        </w:rPr>
        <w:t>Служба начиналась в стрелково-гвардейской дивизии под командованием генерала Кирсанова. На счету дивизии была победа, одержанная под Черниговом. Немецкие войска пытались задержаться на промежуточных рубежах, но под натиском советских частей откатывались дальше, к Днепру. Их последней надеждой было удержаться за широкой рекой, как за надежным и крепким щитом.</w:t>
      </w:r>
    </w:p>
    <w:p w:rsidR="00D81762" w:rsidRDefault="00BD0FA6" w:rsidP="00D81762">
      <w:pPr>
        <w:pStyle w:val="a5"/>
        <w:shd w:val="clear" w:color="auto" w:fill="FFFFFF"/>
        <w:spacing w:before="0" w:beforeAutospacing="0" w:after="0"/>
        <w:ind w:firstLine="709"/>
        <w:jc w:val="both"/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D81762">
        <w:rPr>
          <w:sz w:val="28"/>
          <w:szCs w:val="28"/>
        </w:rPr>
        <w:t>В районе селения Мысы, части дивизии вышли к Днепру и остановились в прибрежных рощах. Весь день шла подготовка: ремонтировали найденные разведчиками лодки, сколачивали плоты. Готовились переправиться через реку и, закрепившись на берегу, прикрывать переправу главных сил. В первой группе, вышедшей к Днепру, находился и 18-летний ефрейтор Петр Сафронов. До правого берега оставалось менее 400 метров, когда гитлеровцы обнаружили лодку и тотчас начался обстрел. Под огнем вражеской противотанковой пушки поползли вперед, обошли расчет и атаковали его, захватив вражескую пушку, они направили ствол орудия в сторону деревни, откуда уже спешила для подкрепления рота немецких стрелков. Горстка храбрецов сумела отвлечь внимание противника от реки, что дало возможность всем подразделениям 234-го полка, а затем – и всей дивизии форсировать Днепр и расширить плацдарм.</w:t>
      </w:r>
    </w:p>
    <w:p w:rsidR="00D81762" w:rsidRDefault="00BD0FA6" w:rsidP="00D81762">
      <w:pPr>
        <w:pStyle w:val="a5"/>
        <w:shd w:val="clear" w:color="auto" w:fill="FFFFFF"/>
        <w:spacing w:before="0" w:beforeAutospacing="0" w:after="0"/>
        <w:ind w:firstLine="709"/>
        <w:jc w:val="both"/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D81762">
        <w:rPr>
          <w:sz w:val="28"/>
          <w:szCs w:val="28"/>
        </w:rPr>
        <w:lastRenderedPageBreak/>
        <w:t xml:space="preserve">15 января 1944 года Указом Президиума Верховного Совета СССР Петру Сергеевичу Сафронову за мужество и отвагу, </w:t>
      </w:r>
      <w:proofErr w:type="gramStart"/>
      <w:r w:rsidRPr="00D81762">
        <w:rPr>
          <w:sz w:val="28"/>
          <w:szCs w:val="28"/>
        </w:rPr>
        <w:t>проявленные</w:t>
      </w:r>
      <w:proofErr w:type="gramEnd"/>
      <w:r w:rsidRPr="00D81762">
        <w:rPr>
          <w:sz w:val="28"/>
          <w:szCs w:val="28"/>
        </w:rPr>
        <w:t xml:space="preserve"> при форсировании Днепра, присвоено высокое звание – Героя Советского Союза.</w:t>
      </w:r>
    </w:p>
    <w:p w:rsidR="00D81762" w:rsidRDefault="00BD0FA6" w:rsidP="00D81762">
      <w:pPr>
        <w:pStyle w:val="a5"/>
        <w:shd w:val="clear" w:color="auto" w:fill="FFFFFF"/>
        <w:spacing w:before="0" w:beforeAutospacing="0" w:after="0"/>
        <w:ind w:firstLine="709"/>
        <w:jc w:val="both"/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D81762">
        <w:rPr>
          <w:sz w:val="28"/>
          <w:szCs w:val="28"/>
        </w:rPr>
        <w:t xml:space="preserve">После окончания войны Сафронов продолжал службу в армии. В 1948 году в звании лейтенанта был уволен в запас. </w:t>
      </w:r>
      <w:proofErr w:type="gramStart"/>
      <w:r w:rsidRPr="00D81762">
        <w:rPr>
          <w:sz w:val="28"/>
          <w:szCs w:val="28"/>
        </w:rPr>
        <w:t xml:space="preserve">Жил в посёлке Железнодорожный (ныне </w:t>
      </w:r>
      <w:proofErr w:type="spellStart"/>
      <w:r w:rsidRPr="00D81762">
        <w:rPr>
          <w:sz w:val="28"/>
          <w:szCs w:val="28"/>
        </w:rPr>
        <w:t>Емва</w:t>
      </w:r>
      <w:proofErr w:type="spellEnd"/>
      <w:r w:rsidRPr="00D81762">
        <w:rPr>
          <w:sz w:val="28"/>
          <w:szCs w:val="28"/>
        </w:rPr>
        <w:t xml:space="preserve"> </w:t>
      </w:r>
      <w:proofErr w:type="spellStart"/>
      <w:r w:rsidRPr="00D81762">
        <w:rPr>
          <w:sz w:val="28"/>
          <w:szCs w:val="28"/>
        </w:rPr>
        <w:t>Княжпогостского</w:t>
      </w:r>
      <w:proofErr w:type="spellEnd"/>
      <w:r w:rsidRPr="00D81762">
        <w:rPr>
          <w:sz w:val="28"/>
          <w:szCs w:val="28"/>
        </w:rPr>
        <w:t xml:space="preserve"> района Республики Коми.</w:t>
      </w:r>
      <w:proofErr w:type="gramEnd"/>
    </w:p>
    <w:p w:rsidR="00BD0FA6" w:rsidRPr="00D81762" w:rsidRDefault="00BD0FA6" w:rsidP="00D81762">
      <w:pPr>
        <w:pStyle w:val="a5"/>
        <w:shd w:val="clear" w:color="auto" w:fill="FFFFFF"/>
        <w:spacing w:before="0" w:beforeAutospacing="0" w:after="0"/>
        <w:ind w:firstLine="709"/>
        <w:jc w:val="both"/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D81762">
        <w:rPr>
          <w:sz w:val="28"/>
          <w:szCs w:val="28"/>
        </w:rPr>
        <w:t>С 1963 года Пётр Сафронов работал в местных органах МВД. Скончался в 1995 году.</w:t>
      </w:r>
    </w:p>
    <w:p w:rsidR="00D81762" w:rsidRPr="00D81762" w:rsidRDefault="00D81762" w:rsidP="00D81762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color w:val="C00000"/>
          <w:sz w:val="36"/>
          <w:szCs w:val="36"/>
          <w:lang w:eastAsia="ru-RU"/>
        </w:rPr>
      </w:pPr>
      <w:r w:rsidRPr="00D81762">
        <w:rPr>
          <w:rFonts w:eastAsia="Times New Roman"/>
          <w:b/>
          <w:bCs/>
          <w:color w:val="C00000"/>
          <w:sz w:val="36"/>
          <w:szCs w:val="36"/>
          <w:lang w:eastAsia="ru-RU"/>
        </w:rPr>
        <w:t>Подвиг</w:t>
      </w:r>
    </w:p>
    <w:p w:rsidR="00D81762" w:rsidRDefault="00D81762" w:rsidP="00D817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sz w:val="28"/>
          <w:szCs w:val="28"/>
          <w:lang w:eastAsia="ru-RU"/>
        </w:rPr>
      </w:pPr>
      <w:r w:rsidRPr="00D81762">
        <w:rPr>
          <w:rFonts w:eastAsia="Times New Roman"/>
          <w:sz w:val="28"/>
          <w:szCs w:val="28"/>
          <w:lang w:eastAsia="ru-RU"/>
        </w:rPr>
        <w:t xml:space="preserve">Проявил героизм при форсировании Днепра: </w:t>
      </w:r>
    </w:p>
    <w:p w:rsidR="00D81762" w:rsidRPr="00D81762" w:rsidRDefault="00D81762" w:rsidP="00D81762">
      <w:pPr>
        <w:spacing w:before="100" w:beforeAutospacing="1" w:after="100" w:afterAutospacing="1" w:line="240" w:lineRule="auto"/>
        <w:ind w:left="720"/>
        <w:rPr>
          <w:rFonts w:eastAsia="Times New Roman"/>
          <w:sz w:val="28"/>
          <w:szCs w:val="28"/>
          <w:lang w:eastAsia="ru-RU"/>
        </w:rPr>
      </w:pPr>
      <w:r w:rsidRPr="00D81762">
        <w:rPr>
          <w:rFonts w:eastAsia="Times New Roman"/>
          <w:sz w:val="28"/>
          <w:szCs w:val="28"/>
          <w:lang w:eastAsia="ru-RU"/>
        </w:rPr>
        <w:t xml:space="preserve">28 сентября 1943 года - </w:t>
      </w:r>
      <w:r w:rsidRPr="00D81762">
        <w:rPr>
          <w:rFonts w:eastAsia="Times New Roman"/>
          <w:iCs/>
          <w:sz w:val="28"/>
          <w:szCs w:val="28"/>
          <w:lang w:eastAsia="ru-RU"/>
        </w:rPr>
        <w:t xml:space="preserve">он в составе группы из 9 человек форсировал Днепр для захвата плацдарма и обеспечения переправы полка через реку. Высадка десанта осуществлялась в дождливую погоду, и противник заметил десантников только уже при подходе к берегу. Гитлеровцы открыли пулемётно-ружейный огонь, а также огонь из артиллерийского орудия, но десантники сумели высадиться на берег. Пулемётчики </w:t>
      </w:r>
      <w:proofErr w:type="spellStart"/>
      <w:r w:rsidRPr="00D81762">
        <w:rPr>
          <w:rFonts w:eastAsia="Times New Roman"/>
          <w:iCs/>
          <w:sz w:val="28"/>
          <w:szCs w:val="28"/>
          <w:lang w:eastAsia="ru-RU"/>
        </w:rPr>
        <w:t>Болодурин</w:t>
      </w:r>
      <w:proofErr w:type="spellEnd"/>
      <w:r w:rsidRPr="00D81762">
        <w:rPr>
          <w:rFonts w:eastAsia="Times New Roman"/>
          <w:iCs/>
          <w:sz w:val="28"/>
          <w:szCs w:val="28"/>
          <w:lang w:eastAsia="ru-RU"/>
        </w:rPr>
        <w:t xml:space="preserve"> и Масляков уничтожили расчёт орудия, а бойцы, ворвавшись в траншею, уничтожали солдат противника. Сафронов лично уничтожил более десятка солдат противника. Захваченное орудие было использовано против контратакующих солдат противника. Бой шёл в течени</w:t>
      </w:r>
      <w:proofErr w:type="gramStart"/>
      <w:r w:rsidRPr="00D81762">
        <w:rPr>
          <w:rFonts w:eastAsia="Times New Roman"/>
          <w:iCs/>
          <w:sz w:val="28"/>
          <w:szCs w:val="28"/>
          <w:lang w:eastAsia="ru-RU"/>
        </w:rPr>
        <w:t>и</w:t>
      </w:r>
      <w:proofErr w:type="gramEnd"/>
      <w:r w:rsidRPr="00D81762">
        <w:rPr>
          <w:rFonts w:eastAsia="Times New Roman"/>
          <w:iCs/>
          <w:sz w:val="28"/>
          <w:szCs w:val="28"/>
          <w:lang w:eastAsia="ru-RU"/>
        </w:rPr>
        <w:t xml:space="preserve"> дня, дав возможность высадить на правом берегу остальные части полка. Командир десанта Курманов и трое бойцов в этом бою погибли. На поле боя осталось около 150 солдат противника</w:t>
      </w:r>
      <w:r w:rsidRPr="00D81762">
        <w:rPr>
          <w:rFonts w:eastAsia="Times New Roman"/>
          <w:sz w:val="28"/>
          <w:szCs w:val="28"/>
          <w:lang w:eastAsia="ru-RU"/>
        </w:rPr>
        <w:t>.</w:t>
      </w:r>
    </w:p>
    <w:p w:rsidR="00D81762" w:rsidRPr="00D81762" w:rsidRDefault="00D81762" w:rsidP="00D81762">
      <w:pPr>
        <w:spacing w:before="100" w:beforeAutospacing="1" w:after="100" w:afterAutospacing="1" w:line="240" w:lineRule="auto"/>
        <w:outlineLvl w:val="1"/>
        <w:rPr>
          <w:rFonts w:eastAsia="Times New Roman"/>
          <w:color w:val="C00000"/>
          <w:sz w:val="24"/>
          <w:szCs w:val="24"/>
          <w:lang w:eastAsia="ru-RU"/>
        </w:rPr>
      </w:pPr>
      <w:r w:rsidRPr="00D81762">
        <w:rPr>
          <w:rFonts w:eastAsia="Times New Roman"/>
          <w:b/>
          <w:bCs/>
          <w:color w:val="C00000"/>
          <w:sz w:val="36"/>
          <w:szCs w:val="36"/>
          <w:lang w:eastAsia="ru-RU"/>
        </w:rPr>
        <w:t>Признание</w:t>
      </w:r>
    </w:p>
    <w:p w:rsidR="00D81762" w:rsidRPr="00D81762" w:rsidRDefault="00D81762" w:rsidP="00D81762">
      <w:pPr>
        <w:spacing w:before="100" w:beforeAutospacing="1" w:after="100" w:afterAutospacing="1" w:line="240" w:lineRule="auto"/>
        <w:outlineLvl w:val="1"/>
        <w:rPr>
          <w:rFonts w:eastAsia="Times New Roman"/>
          <w:sz w:val="28"/>
          <w:szCs w:val="28"/>
          <w:lang w:eastAsia="ru-RU"/>
        </w:rPr>
      </w:pPr>
      <w:hyperlink r:id="rId8" w:tooltip="Герой Советского Союза" w:history="1">
        <w:r w:rsidRPr="00D81762">
          <w:rPr>
            <w:rFonts w:eastAsia="Times New Roman"/>
            <w:sz w:val="28"/>
            <w:szCs w:val="28"/>
            <w:lang w:eastAsia="ru-RU"/>
          </w:rPr>
          <w:t>Герой Советского Союза</w:t>
        </w:r>
      </w:hyperlink>
      <w:r w:rsidRPr="00D81762">
        <w:rPr>
          <w:rFonts w:eastAsia="Times New Roman"/>
          <w:sz w:val="28"/>
          <w:szCs w:val="28"/>
          <w:lang w:eastAsia="ru-RU"/>
        </w:rPr>
        <w:t xml:space="preserve"> (1944) - Указом Президиума </w:t>
      </w:r>
      <w:hyperlink r:id="rId9" w:tooltip="Верховного Совета" w:history="1">
        <w:r w:rsidRPr="00D81762">
          <w:rPr>
            <w:rFonts w:eastAsia="Times New Roman"/>
            <w:sz w:val="28"/>
            <w:szCs w:val="28"/>
            <w:lang w:eastAsia="ru-RU"/>
          </w:rPr>
          <w:t>Верховного Совета</w:t>
        </w:r>
      </w:hyperlink>
      <w:r w:rsidRPr="00D81762">
        <w:rPr>
          <w:rFonts w:eastAsia="Times New Roman"/>
          <w:sz w:val="28"/>
          <w:szCs w:val="28"/>
          <w:lang w:eastAsia="ru-RU"/>
        </w:rPr>
        <w:t xml:space="preserve"> </w:t>
      </w:r>
      <w:hyperlink r:id="rId10" w:tooltip="СССР" w:history="1">
        <w:r w:rsidRPr="00D81762">
          <w:rPr>
            <w:rFonts w:eastAsia="Times New Roman"/>
            <w:sz w:val="28"/>
            <w:szCs w:val="28"/>
            <w:lang w:eastAsia="ru-RU"/>
          </w:rPr>
          <w:t>СССР</w:t>
        </w:r>
      </w:hyperlink>
      <w:r w:rsidRPr="00D81762">
        <w:rPr>
          <w:rFonts w:eastAsia="Times New Roman"/>
          <w:sz w:val="28"/>
          <w:szCs w:val="28"/>
          <w:lang w:eastAsia="ru-RU"/>
        </w:rPr>
        <w:t xml:space="preserve"> от 15 января 1944 года «</w:t>
      </w:r>
      <w:r w:rsidRPr="00D81762">
        <w:rPr>
          <w:rFonts w:eastAsia="Times New Roman"/>
          <w:iCs/>
          <w:sz w:val="28"/>
          <w:szCs w:val="28"/>
          <w:lang w:eastAsia="ru-RU"/>
        </w:rPr>
        <w:t>за образцовое выполнение боевого задания командования в борьбе с немецкими захватчиками и проявленные при этом мужество и героизм</w:t>
      </w:r>
      <w:r w:rsidRPr="00D81762">
        <w:rPr>
          <w:rFonts w:eastAsia="Times New Roman"/>
          <w:sz w:val="28"/>
          <w:szCs w:val="28"/>
          <w:lang w:eastAsia="ru-RU"/>
        </w:rPr>
        <w:t xml:space="preserve">», </w:t>
      </w:r>
      <w:hyperlink r:id="rId11" w:tooltip="Медаль «Золотая Звезда»" w:history="1">
        <w:r w:rsidRPr="00D81762">
          <w:rPr>
            <w:rFonts w:eastAsia="Times New Roman"/>
            <w:sz w:val="28"/>
            <w:szCs w:val="28"/>
            <w:lang w:eastAsia="ru-RU"/>
          </w:rPr>
          <w:t>Медаль «Золотая Звезда»</w:t>
        </w:r>
      </w:hyperlink>
      <w:r w:rsidRPr="00D81762">
        <w:rPr>
          <w:rFonts w:eastAsia="Times New Roman"/>
          <w:sz w:val="28"/>
          <w:szCs w:val="28"/>
          <w:lang w:eastAsia="ru-RU"/>
        </w:rPr>
        <w:t xml:space="preserve"> № 4588</w:t>
      </w:r>
    </w:p>
    <w:p w:rsidR="00D81762" w:rsidRPr="00D81762" w:rsidRDefault="00D81762" w:rsidP="00D8176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sz w:val="28"/>
          <w:szCs w:val="28"/>
          <w:lang w:eastAsia="ru-RU"/>
        </w:rPr>
      </w:pPr>
      <w:hyperlink r:id="rId12" w:tooltip="Орден «Ленина»" w:history="1">
        <w:r w:rsidRPr="00D81762">
          <w:rPr>
            <w:rFonts w:eastAsia="Times New Roman"/>
            <w:sz w:val="28"/>
            <w:szCs w:val="28"/>
            <w:lang w:eastAsia="ru-RU"/>
          </w:rPr>
          <w:t>Орден «Ленина»</w:t>
        </w:r>
      </w:hyperlink>
      <w:r w:rsidRPr="00D81762">
        <w:rPr>
          <w:rFonts w:eastAsia="Times New Roman"/>
          <w:sz w:val="28"/>
          <w:szCs w:val="28"/>
          <w:lang w:eastAsia="ru-RU"/>
        </w:rPr>
        <w:t xml:space="preserve"> (1944)</w:t>
      </w:r>
    </w:p>
    <w:p w:rsidR="00D81762" w:rsidRPr="00D81762" w:rsidRDefault="00D81762" w:rsidP="00D8176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sz w:val="28"/>
          <w:szCs w:val="28"/>
          <w:lang w:eastAsia="ru-RU"/>
        </w:rPr>
      </w:pPr>
      <w:hyperlink r:id="rId13" w:tooltip="Орден «Отечественной войны»" w:history="1">
        <w:r w:rsidRPr="00D81762">
          <w:rPr>
            <w:rFonts w:eastAsia="Times New Roman"/>
            <w:sz w:val="28"/>
            <w:szCs w:val="28"/>
            <w:lang w:eastAsia="ru-RU"/>
          </w:rPr>
          <w:t>Орден «Отечественной войны»</w:t>
        </w:r>
      </w:hyperlink>
      <w:r w:rsidRPr="00D81762">
        <w:rPr>
          <w:rFonts w:eastAsia="Times New Roman"/>
          <w:sz w:val="28"/>
          <w:szCs w:val="28"/>
          <w:lang w:eastAsia="ru-RU"/>
        </w:rPr>
        <w:t xml:space="preserve"> I степени </w:t>
      </w:r>
    </w:p>
    <w:p w:rsidR="00D81762" w:rsidRPr="00D81762" w:rsidRDefault="00D81762" w:rsidP="00D8176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sz w:val="28"/>
          <w:szCs w:val="28"/>
          <w:lang w:eastAsia="ru-RU"/>
        </w:rPr>
      </w:pPr>
      <w:hyperlink r:id="rId14" w:tooltip="Орден «Знак Почёта»" w:history="1">
        <w:r w:rsidRPr="00D81762">
          <w:rPr>
            <w:rFonts w:eastAsia="Times New Roman"/>
            <w:sz w:val="28"/>
            <w:szCs w:val="28"/>
            <w:lang w:eastAsia="ru-RU"/>
          </w:rPr>
          <w:t>Орден «Знак Почёта»</w:t>
        </w:r>
      </w:hyperlink>
    </w:p>
    <w:p w:rsidR="00D81762" w:rsidRPr="00D81762" w:rsidRDefault="00D81762" w:rsidP="00D8176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sz w:val="28"/>
          <w:szCs w:val="28"/>
          <w:lang w:eastAsia="ru-RU"/>
        </w:rPr>
      </w:pPr>
      <w:r w:rsidRPr="00D81762">
        <w:rPr>
          <w:rFonts w:eastAsia="Times New Roman"/>
          <w:sz w:val="28"/>
          <w:szCs w:val="28"/>
          <w:lang w:eastAsia="ru-RU"/>
        </w:rPr>
        <w:t xml:space="preserve">Памятник в </w:t>
      </w:r>
      <w:hyperlink r:id="rId15" w:tooltip="Елабуге" w:history="1">
        <w:r w:rsidRPr="00D81762">
          <w:rPr>
            <w:rFonts w:eastAsia="Times New Roman"/>
            <w:sz w:val="28"/>
            <w:szCs w:val="28"/>
            <w:lang w:eastAsia="ru-RU"/>
          </w:rPr>
          <w:t>Елабуге</w:t>
        </w:r>
      </w:hyperlink>
    </w:p>
    <w:p w:rsidR="00D81762" w:rsidRPr="00D81762" w:rsidRDefault="00D81762" w:rsidP="00D8176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sz w:val="28"/>
          <w:szCs w:val="28"/>
          <w:lang w:eastAsia="ru-RU"/>
        </w:rPr>
      </w:pPr>
      <w:r w:rsidRPr="00D81762">
        <w:rPr>
          <w:rFonts w:eastAsia="Times New Roman"/>
          <w:sz w:val="28"/>
          <w:szCs w:val="28"/>
          <w:lang w:eastAsia="ru-RU"/>
        </w:rPr>
        <w:t xml:space="preserve">Мемориальная доска в </w:t>
      </w:r>
      <w:hyperlink r:id="rId16" w:tooltip="Елабужском педагогическом институте" w:history="1">
        <w:proofErr w:type="spellStart"/>
        <w:r w:rsidRPr="00D81762">
          <w:rPr>
            <w:rFonts w:eastAsia="Times New Roman"/>
            <w:sz w:val="28"/>
            <w:szCs w:val="28"/>
            <w:lang w:eastAsia="ru-RU"/>
          </w:rPr>
          <w:t>Елабужском</w:t>
        </w:r>
        <w:proofErr w:type="spellEnd"/>
        <w:r w:rsidRPr="00D81762">
          <w:rPr>
            <w:rFonts w:eastAsia="Times New Roman"/>
            <w:sz w:val="28"/>
            <w:szCs w:val="28"/>
            <w:lang w:eastAsia="ru-RU"/>
          </w:rPr>
          <w:t xml:space="preserve"> педагогическом институте</w:t>
        </w:r>
      </w:hyperlink>
      <w:r w:rsidRPr="00D81762">
        <w:rPr>
          <w:rFonts w:eastAsia="Times New Roman"/>
          <w:sz w:val="28"/>
          <w:szCs w:val="28"/>
          <w:lang w:eastAsia="ru-RU"/>
        </w:rPr>
        <w:t xml:space="preserve"> (29.09.2009)</w:t>
      </w:r>
    </w:p>
    <w:p w:rsidR="00BD0FA6" w:rsidRPr="003465DB" w:rsidRDefault="00BD0FA6" w:rsidP="003465DB">
      <w:pPr>
        <w:spacing w:line="276" w:lineRule="auto"/>
        <w:jc w:val="both"/>
        <w:rPr>
          <w:sz w:val="28"/>
          <w:szCs w:val="28"/>
        </w:rPr>
      </w:pPr>
    </w:p>
    <w:sectPr w:rsidR="00BD0FA6" w:rsidRPr="003465DB" w:rsidSect="00BD0FA6">
      <w:pgSz w:w="11906" w:h="17338"/>
      <w:pgMar w:top="720" w:right="720" w:bottom="720" w:left="720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5C7B"/>
    <w:multiLevelType w:val="multilevel"/>
    <w:tmpl w:val="3C3E6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BD12B9"/>
    <w:multiLevelType w:val="multilevel"/>
    <w:tmpl w:val="0EAE9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DB"/>
    <w:rsid w:val="00013F26"/>
    <w:rsid w:val="003465DB"/>
    <w:rsid w:val="005A61DF"/>
    <w:rsid w:val="008517E8"/>
    <w:rsid w:val="00BD0FA6"/>
    <w:rsid w:val="00C67820"/>
    <w:rsid w:val="00D8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-1" w:after="-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DF"/>
  </w:style>
  <w:style w:type="paragraph" w:styleId="1">
    <w:name w:val="heading 1"/>
    <w:basedOn w:val="a"/>
    <w:next w:val="a"/>
    <w:link w:val="10"/>
    <w:qFormat/>
    <w:rsid w:val="005A61D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A61D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5A61D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A61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A61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A61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A61D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5A61DF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1DF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5A61DF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5A61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A61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A61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A61D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A61D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5A61DF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uiPriority w:val="99"/>
    <w:qFormat/>
    <w:rsid w:val="005A61DF"/>
    <w:rPr>
      <w:rFonts w:cs="Times New Roman"/>
      <w:i/>
    </w:rPr>
  </w:style>
  <w:style w:type="paragraph" w:styleId="a4">
    <w:name w:val="List Paragraph"/>
    <w:basedOn w:val="a"/>
    <w:uiPriority w:val="99"/>
    <w:qFormat/>
    <w:rsid w:val="005A61D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D0FA6"/>
    <w:pPr>
      <w:spacing w:before="100" w:beforeAutospacing="1" w:after="360" w:line="240" w:lineRule="auto"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0FA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0FA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D81762"/>
    <w:rPr>
      <w:color w:val="0000FF"/>
      <w:u w:val="single"/>
    </w:rPr>
  </w:style>
  <w:style w:type="character" w:customStyle="1" w:styleId="mw-headline">
    <w:name w:val="mw-headline"/>
    <w:basedOn w:val="a0"/>
    <w:rsid w:val="00D817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-1" w:after="-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DF"/>
  </w:style>
  <w:style w:type="paragraph" w:styleId="1">
    <w:name w:val="heading 1"/>
    <w:basedOn w:val="a"/>
    <w:next w:val="a"/>
    <w:link w:val="10"/>
    <w:qFormat/>
    <w:rsid w:val="005A61D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A61D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5A61D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A61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A61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A61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A61D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5A61DF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1DF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5A61DF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5A61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A61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A61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A61D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A61D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5A61DF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uiPriority w:val="99"/>
    <w:qFormat/>
    <w:rsid w:val="005A61DF"/>
    <w:rPr>
      <w:rFonts w:cs="Times New Roman"/>
      <w:i/>
    </w:rPr>
  </w:style>
  <w:style w:type="paragraph" w:styleId="a4">
    <w:name w:val="List Paragraph"/>
    <w:basedOn w:val="a"/>
    <w:uiPriority w:val="99"/>
    <w:qFormat/>
    <w:rsid w:val="005A61D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D0FA6"/>
    <w:pPr>
      <w:spacing w:before="100" w:beforeAutospacing="1" w:after="360" w:line="240" w:lineRule="auto"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0FA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0FA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D81762"/>
    <w:rPr>
      <w:color w:val="0000FF"/>
      <w:u w:val="single"/>
    </w:rPr>
  </w:style>
  <w:style w:type="character" w:customStyle="1" w:styleId="mw-headline">
    <w:name w:val="mw-headline"/>
    <w:basedOn w:val="a0"/>
    <w:rsid w:val="00D81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4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5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25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49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06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1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9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36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75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4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7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4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llattashlar.ru/index.php/%D0%93%D0%B5%D1%80%D0%BE%D0%B9_%D0%A1%D0%BE%D0%B2%D0%B5%D1%82%D1%81%D0%BA%D0%BE%D0%B3%D0%BE_%D0%A1%D0%BE%D1%8E%D0%B7%D0%B0" TargetMode="External"/><Relationship Id="rId13" Type="http://schemas.openxmlformats.org/officeDocument/2006/relationships/hyperlink" Target="http://www.millattashlar.ru/index.php/%D0%9E%D1%80%D0%B4%D0%B5%D0%BD_%C2%AB%D0%9E%D1%82%D0%B5%D1%87%D0%B5%D1%81%D1%82%D0%B2%D0%B5%D0%BD%D0%BD%D0%BE%D0%B9_%D0%B2%D0%BE%D0%B9%D0%BD%D1%8B%C2%BB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millattashlar.ru/index.php/%D0%9E%D1%80%D0%B4%D0%B5%D0%BD_%C2%AB%D0%9B%D0%B5%D0%BD%D0%B8%D0%BD%D0%B0%C2%BB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millattashlar.ru/index.php/%D0%95%D0%BB%D0%B0%D0%B1%D1%83%D0%B6%D1%81%D0%BA%D0%BE%D0%BC_%D0%BF%D0%B5%D0%B4%D0%B0%D0%B3%D0%BE%D0%B3%D0%B8%D1%87%D0%B5%D1%81%D0%BA%D0%BE%D0%BC_%D0%B8%D0%BD%D1%81%D1%82%D0%B8%D1%82%D1%83%D1%82%D0%B5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millattashlar.ru/index.php/%D0%9C%D0%B5%D0%B4%D0%B0%D0%BB%D1%8C_%C2%AB%D0%97%D0%BE%D0%BB%D0%BE%D1%82%D0%B0%D1%8F_%D0%97%D0%B2%D0%B5%D0%B7%D0%B4%D0%B0%C2%B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illattashlar.ru/index.php/%D0%95%D0%BB%D0%B0%D0%B1%D1%83%D0%B3%D0%B5" TargetMode="External"/><Relationship Id="rId10" Type="http://schemas.openxmlformats.org/officeDocument/2006/relationships/hyperlink" Target="http://www.millattashlar.ru/index.php/%D0%A1%D0%A1%D0%A1%D0%A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llattashlar.ru/index.php/%D0%92%D0%B5%D1%80%D1%85%D0%BE%D0%B2%D0%BD%D0%BE%D0%B3%D0%BE_%D0%A1%D0%BE%D0%B2%D0%B5%D1%82%D0%B0" TargetMode="External"/><Relationship Id="rId14" Type="http://schemas.openxmlformats.org/officeDocument/2006/relationships/hyperlink" Target="http://www.millattashlar.ru/index.php/%D0%9E%D1%80%D0%B4%D0%B5%D0%BD_%C2%AB%D0%97%D0%BD%D0%B0%D0%BA_%D0%9F%D0%BE%D1%87%D1%91%D1%82%D0%B0%C2%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 №6</dc:creator>
  <cp:lastModifiedBy>Библиотека №6</cp:lastModifiedBy>
  <cp:revision>4</cp:revision>
  <dcterms:created xsi:type="dcterms:W3CDTF">2020-01-25T13:34:00Z</dcterms:created>
  <dcterms:modified xsi:type="dcterms:W3CDTF">2020-02-18T14:35:00Z</dcterms:modified>
</cp:coreProperties>
</file>